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Latn-RS"/>
        </w:rPr>
        <w:t xml:space="preserve">Zadovoljstvo mi je da vas pozdravim i ovom prilikom obavestim da je </w:t>
      </w:r>
      <w:r w:rsidRPr="00DE355F">
        <w:rPr>
          <w:rFonts w:asciiTheme="minorHAnsi" w:hAnsiTheme="minorHAnsi"/>
          <w:b/>
          <w:bCs/>
          <w:i/>
          <w:iCs/>
          <w:color w:val="000000"/>
          <w:sz w:val="22"/>
          <w:szCs w:val="22"/>
          <w:lang w:val="sr-Latn-RS"/>
        </w:rPr>
        <w:t xml:space="preserve">Konkurs Vlade Meksika za stipendiranje stranaca u 2019. godini </w:t>
      </w:r>
      <w:r w:rsidRPr="00DE355F">
        <w:rPr>
          <w:rFonts w:asciiTheme="minorHAnsi" w:hAnsiTheme="minorHAnsi"/>
          <w:color w:val="000000"/>
          <w:sz w:val="22"/>
          <w:szCs w:val="22"/>
          <w:lang w:val="sr-Latn-RS"/>
        </w:rPr>
        <w:t xml:space="preserve">objavljen u odeljku </w:t>
      </w:r>
      <w:r w:rsidRPr="00DE355F">
        <w:rPr>
          <w:rFonts w:asciiTheme="minorHAnsi" w:hAnsiTheme="minorHAnsi"/>
          <w:i/>
          <w:iCs/>
          <w:color w:val="000000"/>
          <w:sz w:val="22"/>
          <w:szCs w:val="22"/>
          <w:lang w:val="sr-Latn-RS"/>
        </w:rPr>
        <w:t>„Stipendije i kursevi akademske saradnje“</w:t>
      </w:r>
      <w:r w:rsidRPr="00DE355F">
        <w:rPr>
          <w:rFonts w:asciiTheme="minorHAnsi" w:hAnsiTheme="minorHAnsi"/>
          <w:color w:val="000000"/>
          <w:sz w:val="22"/>
          <w:szCs w:val="22"/>
          <w:lang w:val="sr-Latn-RS"/>
        </w:rPr>
        <w:t xml:space="preserve"> sekcije </w:t>
      </w:r>
      <w:r w:rsidRPr="00DE355F">
        <w:rPr>
          <w:rFonts w:asciiTheme="minorHAnsi" w:hAnsiTheme="minorHAnsi"/>
          <w:i/>
          <w:iCs/>
          <w:color w:val="000000"/>
          <w:sz w:val="22"/>
          <w:szCs w:val="22"/>
          <w:lang w:val="sr-Latn-RS"/>
        </w:rPr>
        <w:t xml:space="preserve">„Akcije i programi“ </w:t>
      </w:r>
      <w:r w:rsidRPr="00DE355F">
        <w:rPr>
          <w:rFonts w:asciiTheme="minorHAnsi" w:hAnsiTheme="minorHAnsi"/>
          <w:color w:val="000000"/>
          <w:sz w:val="22"/>
          <w:szCs w:val="22"/>
          <w:lang w:val="sr-Latn-RS"/>
        </w:rPr>
        <w:t>na jedinstvenom Vladinom portalu na sledećoj adresi:</w:t>
      </w:r>
      <w:r w:rsidRPr="00DE355F">
        <w:rPr>
          <w:rFonts w:asciiTheme="minorHAnsi" w:hAnsiTheme="minorHAnsi"/>
          <w:b/>
          <w:bCs/>
          <w:color w:val="000000"/>
          <w:sz w:val="22"/>
          <w:szCs w:val="22"/>
          <w:lang w:val="sr-Latn-RS"/>
        </w:rPr>
        <w:t xml:space="preserve"> </w:t>
      </w:r>
      <w:hyperlink r:id="rId5" w:history="1">
        <w:r w:rsidRPr="00DE355F">
          <w:rPr>
            <w:rStyle w:val="Hyperlink"/>
            <w:rFonts w:asciiTheme="minorHAnsi" w:hAnsiTheme="minorHAnsi"/>
            <w:sz w:val="22"/>
            <w:szCs w:val="22"/>
            <w:lang w:val="sr-Latn-RS"/>
          </w:rPr>
          <w:t>http://www.gob.mx/amexcid/acciones-y-programas/becas-para-extranjeros-29785</w:t>
        </w:r>
      </w:hyperlink>
      <w:r w:rsidRPr="00DE355F">
        <w:rPr>
          <w:rFonts w:asciiTheme="minorHAnsi" w:hAnsiTheme="minorHAnsi"/>
          <w:color w:val="000000"/>
          <w:sz w:val="22"/>
          <w:szCs w:val="22"/>
          <w:lang w:val="sr-Latn-RS"/>
        </w:rPr>
        <w:t>.</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Latn-RS"/>
        </w:rPr>
        <w:t>U vezi sa tim, napominje se da sve prijave srpskih državljanja moraju biti obavljene elektronski, putem Sistema za upravljanje akademskom saradnjom (SIGCA) (</w:t>
      </w:r>
      <w:r w:rsidRPr="00DE355F">
        <w:rPr>
          <w:rFonts w:asciiTheme="minorHAnsi" w:hAnsiTheme="minorHAnsi"/>
          <w:color w:val="0563C1"/>
          <w:sz w:val="22"/>
          <w:szCs w:val="22"/>
          <w:lang w:val="sr-Latn-RS"/>
        </w:rPr>
        <w:fldChar w:fldCharType="begin"/>
      </w:r>
      <w:r w:rsidRPr="00DE355F">
        <w:rPr>
          <w:rFonts w:asciiTheme="minorHAnsi" w:hAnsiTheme="minorHAnsi"/>
          <w:color w:val="0563C1"/>
          <w:sz w:val="22"/>
          <w:szCs w:val="22"/>
          <w:lang w:val="sr-Latn-RS"/>
        </w:rPr>
        <w:instrText xml:space="preserve"> HYPERLINK "https://sigca.sre.gob.mx/login" </w:instrText>
      </w:r>
      <w:r w:rsidRPr="00DE355F">
        <w:rPr>
          <w:rFonts w:asciiTheme="minorHAnsi" w:hAnsiTheme="minorHAnsi"/>
          <w:color w:val="0563C1"/>
          <w:sz w:val="22"/>
          <w:szCs w:val="22"/>
          <w:lang w:val="sr-Latn-RS"/>
        </w:rPr>
        <w:fldChar w:fldCharType="separate"/>
      </w:r>
      <w:r w:rsidRPr="00DE355F">
        <w:rPr>
          <w:rStyle w:val="Hyperlink"/>
          <w:rFonts w:asciiTheme="minorHAnsi" w:hAnsiTheme="minorHAnsi"/>
          <w:sz w:val="22"/>
          <w:szCs w:val="22"/>
          <w:lang w:val="sr-Latn-RS"/>
        </w:rPr>
        <w:t>https://sigca.sre.gob.mx/login</w:t>
      </w:r>
      <w:r w:rsidRPr="00DE355F">
        <w:rPr>
          <w:rFonts w:asciiTheme="minorHAnsi" w:hAnsiTheme="minorHAnsi"/>
          <w:color w:val="0563C1"/>
          <w:sz w:val="22"/>
          <w:szCs w:val="22"/>
          <w:lang w:val="sr-Latn-RS"/>
        </w:rPr>
        <w:fldChar w:fldCharType="end"/>
      </w:r>
      <w:r w:rsidRPr="00DE355F">
        <w:rPr>
          <w:rFonts w:asciiTheme="minorHAnsi" w:hAnsiTheme="minorHAnsi"/>
          <w:color w:val="000000"/>
          <w:sz w:val="22"/>
          <w:szCs w:val="22"/>
          <w:lang w:val="sr-Latn-RS"/>
        </w:rPr>
        <w:t xml:space="preserve">). Zbog toga je neophodno da kandidati prilože dokumentaciju po uputstvima sistema i u skladu sa navedenim u Konkursu za 2019. godinu. Sistem SIGCA će biti otvoren do </w:t>
      </w:r>
      <w:r w:rsidRPr="00DE355F">
        <w:rPr>
          <w:rFonts w:asciiTheme="minorHAnsi" w:hAnsiTheme="minorHAnsi"/>
          <w:b/>
          <w:bCs/>
          <w:color w:val="000000"/>
          <w:sz w:val="22"/>
          <w:szCs w:val="22"/>
          <w:lang w:val="sr-Latn-RS"/>
        </w:rPr>
        <w:t>28. septembra 2018. godine</w:t>
      </w:r>
      <w:r w:rsidRPr="00DE355F">
        <w:rPr>
          <w:rFonts w:asciiTheme="minorHAnsi" w:hAnsiTheme="minorHAnsi"/>
          <w:color w:val="000000"/>
          <w:sz w:val="22"/>
          <w:szCs w:val="22"/>
          <w:lang w:val="sr-Latn-RS"/>
        </w:rPr>
        <w:t xml:space="preserve">, kako bi zainteresovani mogli da pošalju svoje prijave. Rezultati će biti obajvljeni od </w:t>
      </w:r>
      <w:r w:rsidRPr="00DE355F">
        <w:rPr>
          <w:rFonts w:asciiTheme="minorHAnsi" w:hAnsiTheme="minorHAnsi"/>
          <w:b/>
          <w:bCs/>
          <w:color w:val="000000"/>
          <w:sz w:val="22"/>
          <w:szCs w:val="22"/>
          <w:lang w:val="sr-Latn-RS"/>
        </w:rPr>
        <w:t>5. decembra 2018. godine</w:t>
      </w:r>
      <w:r w:rsidRPr="00DE355F">
        <w:rPr>
          <w:rFonts w:asciiTheme="minorHAnsi" w:hAnsiTheme="minorHAnsi"/>
          <w:color w:val="000000"/>
          <w:sz w:val="22"/>
          <w:szCs w:val="22"/>
          <w:lang w:val="sr-Latn-RS"/>
        </w:rPr>
        <w:t>.</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Latn-RS"/>
        </w:rPr>
        <w:t xml:space="preserve">Stipendije se nude samo u oblastima i za institucije koje su izričito navedene u Konkursu za 2019. godinu. Treba istaći da elektornske prijave koje ne ispunjavaju sve potrebne uslove iz konkursa neće biti uključene u proces selekcije. Za 2019. godinu, </w:t>
      </w:r>
      <w:r w:rsidRPr="00DE355F">
        <w:rPr>
          <w:rFonts w:asciiTheme="minorHAnsi" w:hAnsiTheme="minorHAnsi"/>
          <w:b/>
          <w:bCs/>
          <w:color w:val="000000"/>
          <w:sz w:val="22"/>
          <w:szCs w:val="22"/>
          <w:lang w:val="sr-Latn-RS"/>
        </w:rPr>
        <w:t>u okviru bilateralnog plana sa Srbijom, nude se 2 stipendije: 2 nove stipendije</w:t>
      </w:r>
      <w:r w:rsidRPr="00DE355F">
        <w:rPr>
          <w:rFonts w:asciiTheme="minorHAnsi" w:hAnsiTheme="minorHAnsi"/>
          <w:color w:val="000000"/>
          <w:sz w:val="22"/>
          <w:szCs w:val="22"/>
          <w:lang w:val="sr-Latn-RS"/>
        </w:rPr>
        <w:t xml:space="preserve"> ( </w:t>
      </w:r>
      <w:r w:rsidRPr="00DE355F">
        <w:rPr>
          <w:rFonts w:asciiTheme="minorHAnsi" w:hAnsiTheme="minorHAnsi"/>
          <w:b/>
          <w:bCs/>
          <w:color w:val="000000"/>
          <w:sz w:val="22"/>
          <w:szCs w:val="22"/>
          <w:lang w:val="sr-Latn-RS"/>
        </w:rPr>
        <w:t>2</w:t>
      </w:r>
      <w:r w:rsidRPr="00DE355F">
        <w:rPr>
          <w:rFonts w:asciiTheme="minorHAnsi" w:hAnsiTheme="minorHAnsi"/>
          <w:color w:val="000000"/>
          <w:sz w:val="22"/>
          <w:szCs w:val="22"/>
          <w:lang w:val="sr-Latn-RS"/>
        </w:rPr>
        <w:t xml:space="preserve"> dostupne od marta 2019. godine).</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Latn-RS"/>
        </w:rPr>
        <w:t>U vezi prijava za COLMEX, FLACSO i Iberoamerički Univerzitet (UIA) definitivan prijem na studije uslovljen je ispunjavanjem različitih procesa koje sprovode te institucije.</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Latn-RS"/>
        </w:rPr>
        <w:t>S tim u vezi, ljubazno vas molim da o ovom konkursu obavestite studente vašeg Univerziteta.</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Latn-RS"/>
        </w:rPr>
        <w:t>Koristim priliku da vam ponovim izraze svog osobitog poštovanja.</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b/>
          <w:bCs/>
          <w:i/>
          <w:iCs/>
          <w:color w:val="000000"/>
          <w:sz w:val="22"/>
          <w:szCs w:val="22"/>
          <w:lang w:val="sr-Cyrl-RS"/>
        </w:rPr>
        <w:t xml:space="preserve">Advertencia: </w:t>
      </w:r>
      <w:r w:rsidRPr="00DE355F">
        <w:rPr>
          <w:rFonts w:asciiTheme="minorHAnsi" w:hAnsiTheme="minorHAnsi"/>
          <w:i/>
          <w:iCs/>
          <w:color w:val="000000"/>
          <w:sz w:val="22"/>
          <w:szCs w:val="22"/>
          <w:lang w:val="sr-Cyrl-RS"/>
        </w:rPr>
        <w:t>el contenido de este correo y archivos adjuntos es confidencial y para el uso exclusivo de su(s) destinatario(s).  Si usted ha recibido este correo por error, por favor notifíquelo al remitente y bórrelo de su sistema.  Está prohibido el uso, distribución, copia o divulgación por cualquier medio de la información contenida en el mismo por persona distinta al destinatario de este mensaje.</w:t>
      </w:r>
      <w:r w:rsidRPr="00DE355F">
        <w:rPr>
          <w:rFonts w:asciiTheme="minorHAnsi" w:hAnsiTheme="minorHAnsi"/>
          <w:b/>
          <w:bCs/>
          <w:i/>
          <w:iCs/>
          <w:color w:val="000000"/>
          <w:sz w:val="22"/>
          <w:szCs w:val="22"/>
          <w:lang w:val="sr-Cyrl-RS"/>
        </w:rPr>
        <w:t xml:space="preserve">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b/>
          <w:bCs/>
          <w:i/>
          <w:iCs/>
          <w:color w:val="000000"/>
          <w:sz w:val="22"/>
          <w:szCs w:val="22"/>
          <w:lang w:val="en-GB"/>
        </w:rPr>
        <w:t xml:space="preserve">Disclaimer: </w:t>
      </w:r>
      <w:r w:rsidRPr="00DE355F">
        <w:rPr>
          <w:rFonts w:asciiTheme="minorHAnsi" w:hAnsiTheme="minorHAnsi"/>
          <w:i/>
          <w:iCs/>
          <w:color w:val="000000"/>
          <w:sz w:val="22"/>
          <w:szCs w:val="22"/>
          <w:lang w:val="en-GB"/>
        </w:rPr>
        <w:t>The content of this email and any of its attachments is confidential and intended solely for the use of its addressee(s).  If you have received this email by mistake, please notify the sender immediately and delete it from your system.  Disclosing, copying, distributing or taking any action in reliance on the contents of this information by anyone other than the intended recipient(s) is strictly prohibited.</w:t>
      </w:r>
    </w:p>
    <w:p w:rsidR="00DE355F" w:rsidRPr="00DE355F" w:rsidRDefault="00DE355F" w:rsidP="00DE355F">
      <w:pPr>
        <w:jc w:val="both"/>
        <w:rPr>
          <w:rFonts w:asciiTheme="minorHAnsi" w:hAnsiTheme="minorHAnsi"/>
          <w:color w:val="000000"/>
          <w:sz w:val="22"/>
          <w:szCs w:val="22"/>
          <w:lang w:val="sr-Cyrl-RS"/>
        </w:rPr>
      </w:pPr>
      <w:proofErr w:type="spellStart"/>
      <w:r w:rsidRPr="00DE355F">
        <w:rPr>
          <w:rFonts w:asciiTheme="minorHAnsi" w:hAnsiTheme="minorHAnsi"/>
          <w:b/>
          <w:bCs/>
          <w:i/>
          <w:iCs/>
          <w:color w:val="000000"/>
          <w:sz w:val="22"/>
          <w:szCs w:val="22"/>
          <w:lang w:val="en-GB"/>
        </w:rPr>
        <w:t>Napomena</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Sadržaj</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ovog</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mejla</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i</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bilo</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koji</w:t>
      </w:r>
      <w:proofErr w:type="spellEnd"/>
      <w:r w:rsidRPr="00DE355F">
        <w:rPr>
          <w:rFonts w:asciiTheme="minorHAnsi" w:hAnsiTheme="minorHAnsi"/>
          <w:i/>
          <w:iCs/>
          <w:color w:val="000000"/>
          <w:sz w:val="22"/>
          <w:szCs w:val="22"/>
          <w:lang w:val="en-GB"/>
        </w:rPr>
        <w:t xml:space="preserve"> </w:t>
      </w:r>
      <w:proofErr w:type="gramStart"/>
      <w:r w:rsidRPr="00DE355F">
        <w:rPr>
          <w:rFonts w:asciiTheme="minorHAnsi" w:hAnsiTheme="minorHAnsi"/>
          <w:i/>
          <w:iCs/>
          <w:color w:val="000000"/>
          <w:sz w:val="22"/>
          <w:szCs w:val="22"/>
          <w:lang w:val="en-GB"/>
        </w:rPr>
        <w:t>od</w:t>
      </w:r>
      <w:proofErr w:type="gram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njegovih</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priloga</w:t>
      </w:r>
      <w:proofErr w:type="spellEnd"/>
      <w:r w:rsidRPr="00DE355F">
        <w:rPr>
          <w:rFonts w:asciiTheme="minorHAnsi" w:hAnsiTheme="minorHAnsi"/>
          <w:i/>
          <w:iCs/>
          <w:color w:val="000000"/>
          <w:sz w:val="22"/>
          <w:szCs w:val="22"/>
          <w:lang w:val="en-GB"/>
        </w:rPr>
        <w:t xml:space="preserve"> je </w:t>
      </w:r>
      <w:proofErr w:type="spellStart"/>
      <w:r w:rsidRPr="00DE355F">
        <w:rPr>
          <w:rFonts w:asciiTheme="minorHAnsi" w:hAnsiTheme="minorHAnsi"/>
          <w:i/>
          <w:iCs/>
          <w:color w:val="000000"/>
          <w:sz w:val="22"/>
          <w:szCs w:val="22"/>
          <w:lang w:val="en-GB"/>
        </w:rPr>
        <w:t>poverljiv</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i</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namenjen</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isključivo</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za</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upotrebu</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njegovog</w:t>
      </w:r>
      <w:proofErr w:type="spellEnd"/>
      <w:r w:rsidRPr="00DE355F">
        <w:rPr>
          <w:rFonts w:asciiTheme="minorHAnsi" w:hAnsiTheme="minorHAnsi"/>
          <w:i/>
          <w:iCs/>
          <w:color w:val="000000"/>
          <w:sz w:val="22"/>
          <w:szCs w:val="22"/>
          <w:lang w:val="en-GB"/>
        </w:rPr>
        <w:t xml:space="preserve"> </w:t>
      </w:r>
      <w:proofErr w:type="spellStart"/>
      <w:r w:rsidRPr="00DE355F">
        <w:rPr>
          <w:rFonts w:asciiTheme="minorHAnsi" w:hAnsiTheme="minorHAnsi"/>
          <w:i/>
          <w:iCs/>
          <w:color w:val="000000"/>
          <w:sz w:val="22"/>
          <w:szCs w:val="22"/>
          <w:lang w:val="en-GB"/>
        </w:rPr>
        <w:t>primaoca</w:t>
      </w:r>
      <w:proofErr w:type="spellEnd"/>
      <w:r w:rsidRPr="00DE355F">
        <w:rPr>
          <w:rFonts w:asciiTheme="minorHAnsi" w:hAnsiTheme="minorHAnsi"/>
          <w:i/>
          <w:iCs/>
          <w:color w:val="000000"/>
          <w:sz w:val="22"/>
          <w:szCs w:val="22"/>
          <w:lang w:val="en-GB"/>
        </w:rPr>
        <w:t xml:space="preserve">. </w:t>
      </w:r>
      <w:r w:rsidRPr="00DE355F">
        <w:rPr>
          <w:rFonts w:asciiTheme="minorHAnsi" w:hAnsiTheme="minorHAnsi"/>
          <w:i/>
          <w:iCs/>
          <w:color w:val="000000"/>
          <w:sz w:val="22"/>
          <w:szCs w:val="22"/>
          <w:lang w:val="pt-BR"/>
        </w:rPr>
        <w:t xml:space="preserve">Ako ste primili ovaj mejl greškom, molimo vas da ga izbrišete iz svog sistema I odmah obavestite pošiljaoca. Strogo je zabranjena upotreba, kopiranje, distribucija ili preduzimanje bilo kakve radnje koja se odnosi na sadržaj ove poruke od strane bilo koga drugog ko nije primalac ove poruke.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i/>
          <w:iCs/>
          <w:color w:val="3B3838"/>
          <w:sz w:val="22"/>
          <w:szCs w:val="22"/>
          <w:lang w:val="sr-Cyrl-RS" w:eastAsia="sr-Latn-CS"/>
        </w:rPr>
        <w:t xml:space="preserve">Embajada de México en Serbia y concurrente para Bosnia y Herzegovina, Macedonia y Montenegro.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i/>
          <w:iCs/>
          <w:color w:val="3B3838"/>
          <w:sz w:val="22"/>
          <w:szCs w:val="22"/>
          <w:lang w:val="sr-Cyrl-RS" w:eastAsia="sr-Latn-CS"/>
        </w:rPr>
        <w:t>Ljutice Bogdana 5, Dedinje Savski venac, 11040 Belgrado, Serbia.</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i/>
          <w:iCs/>
          <w:color w:val="3B3838"/>
          <w:sz w:val="22"/>
          <w:szCs w:val="22"/>
          <w:lang w:val="sr-Cyrl-RS" w:eastAsia="sr-Latn-CS"/>
        </w:rPr>
        <w:t>Teléfonos: +381 11 3674 170; +381 11 3674 171; +381 11 3675 013; Fax: +381 11 3066 342</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i/>
          <w:iCs/>
          <w:color w:val="3B3838"/>
          <w:sz w:val="22"/>
          <w:szCs w:val="22"/>
          <w:lang w:val="es-ES" w:eastAsia="sr-Latn-CS"/>
        </w:rPr>
        <w:t xml:space="preserve">E-mail: </w:t>
      </w:r>
      <w:hyperlink r:id="rId6" w:history="1">
        <w:r w:rsidRPr="00DE355F">
          <w:rPr>
            <w:rStyle w:val="Hyperlink"/>
            <w:rFonts w:asciiTheme="minorHAnsi" w:hAnsiTheme="minorHAnsi"/>
            <w:i/>
            <w:iCs/>
            <w:sz w:val="22"/>
            <w:szCs w:val="22"/>
            <w:lang w:val="es-ES" w:eastAsia="sr-Latn-CS"/>
          </w:rPr>
          <w:t>embserbia@sre.gob.mx</w:t>
        </w:r>
      </w:hyperlink>
      <w:r w:rsidRPr="00DE355F">
        <w:rPr>
          <w:rFonts w:asciiTheme="minorHAnsi" w:hAnsiTheme="minorHAnsi"/>
          <w:i/>
          <w:iCs/>
          <w:color w:val="3B3838"/>
          <w:sz w:val="22"/>
          <w:szCs w:val="22"/>
          <w:lang w:val="es-ES" w:eastAsia="sr-Latn-CS"/>
        </w:rPr>
        <w:t xml:space="preserve">; Web: </w:t>
      </w:r>
      <w:hyperlink r:id="rId7" w:history="1">
        <w:r w:rsidRPr="00DE355F">
          <w:rPr>
            <w:rStyle w:val="Hyperlink"/>
            <w:rFonts w:asciiTheme="minorHAnsi" w:hAnsiTheme="minorHAnsi"/>
            <w:i/>
            <w:iCs/>
            <w:sz w:val="22"/>
            <w:szCs w:val="22"/>
            <w:lang w:val="es-ES" w:eastAsia="sr-Latn-CS"/>
          </w:rPr>
          <w:t>HTTP://SRE.GOB.MX/SERBIA</w:t>
        </w:r>
      </w:hyperlink>
      <w:r w:rsidRPr="00DE355F">
        <w:rPr>
          <w:rFonts w:asciiTheme="minorHAnsi" w:hAnsiTheme="minorHAnsi"/>
          <w:color w:val="000000"/>
          <w:sz w:val="22"/>
          <w:szCs w:val="22"/>
          <w:lang w:val="es-ES"/>
        </w:rPr>
        <w:t>;</w:t>
      </w:r>
      <w:r w:rsidRPr="00DE355F">
        <w:rPr>
          <w:rFonts w:asciiTheme="minorHAnsi" w:hAnsiTheme="minorHAnsi"/>
          <w:i/>
          <w:iCs/>
          <w:color w:val="3B3838"/>
          <w:sz w:val="22"/>
          <w:szCs w:val="22"/>
          <w:lang w:val="es-ES" w:eastAsia="sr-Latn-CS"/>
        </w:rPr>
        <w:t xml:space="preserve"> Twitter: @</w:t>
      </w:r>
      <w:proofErr w:type="spellStart"/>
      <w:r w:rsidRPr="00DE355F">
        <w:rPr>
          <w:rFonts w:asciiTheme="minorHAnsi" w:hAnsiTheme="minorHAnsi"/>
          <w:i/>
          <w:iCs/>
          <w:color w:val="3B3838"/>
          <w:sz w:val="22"/>
          <w:szCs w:val="22"/>
          <w:lang w:val="es-ES" w:eastAsia="sr-Latn-CS"/>
        </w:rPr>
        <w:t>EmbaMexSerbia</w:t>
      </w:r>
      <w:proofErr w:type="spellEnd"/>
      <w:r w:rsidRPr="00DE355F">
        <w:rPr>
          <w:rFonts w:asciiTheme="minorHAnsi" w:hAnsiTheme="minorHAnsi"/>
          <w:i/>
          <w:iCs/>
          <w:color w:val="3B3838"/>
          <w:sz w:val="22"/>
          <w:szCs w:val="22"/>
          <w:lang w:val="es-ES" w:eastAsia="sr-Latn-CS"/>
        </w:rPr>
        <w:t xml:space="preserve">;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i/>
          <w:iCs/>
          <w:color w:val="3B3838"/>
          <w:sz w:val="22"/>
          <w:szCs w:val="22"/>
          <w:lang w:val="sr-Cyrl-RS" w:eastAsia="sr-Latn-CS"/>
        </w:rPr>
        <w:t>Facebook: Embajada de México en Serbia</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xml:space="preserve">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Default="00DE355F" w:rsidP="00DE355F">
      <w:pPr>
        <w:jc w:val="both"/>
        <w:rPr>
          <w:rFonts w:asciiTheme="minorHAnsi" w:hAnsiTheme="minorHAnsi"/>
          <w:color w:val="000000"/>
          <w:sz w:val="22"/>
          <w:szCs w:val="22"/>
          <w:lang w:val="sr-Cyrl-RS"/>
        </w:rPr>
      </w:pPr>
    </w:p>
    <w:p w:rsidR="00DE355F" w:rsidRPr="00DE355F" w:rsidRDefault="00DE355F" w:rsidP="00DE355F">
      <w:pPr>
        <w:jc w:val="both"/>
        <w:rPr>
          <w:rFonts w:asciiTheme="minorHAnsi" w:hAnsiTheme="minorHAnsi"/>
          <w:color w:val="000000"/>
          <w:sz w:val="22"/>
          <w:szCs w:val="22"/>
          <w:lang w:val="sr-Cyrl-RS"/>
        </w:rPr>
      </w:pPr>
      <w:bookmarkStart w:id="0" w:name="_GoBack"/>
      <w:bookmarkEnd w:id="0"/>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lastRenderedPageBreak/>
        <w:t xml:space="preserve">Me es grato hacer llegar a usted un cordial saludo en ocasión de informarle que la </w:t>
      </w:r>
      <w:r w:rsidRPr="00DE355F">
        <w:rPr>
          <w:rFonts w:asciiTheme="minorHAnsi" w:hAnsiTheme="minorHAnsi"/>
          <w:b/>
          <w:bCs/>
          <w:i/>
          <w:iCs/>
          <w:color w:val="000000"/>
          <w:sz w:val="22"/>
          <w:szCs w:val="22"/>
          <w:lang w:val="sr-Cyrl-RS"/>
        </w:rPr>
        <w:t>Convocatoria de Becas de Excelencia del Gobierno de México para Extranjeros 2019</w:t>
      </w:r>
      <w:r w:rsidRPr="00DE355F">
        <w:rPr>
          <w:rFonts w:asciiTheme="minorHAnsi" w:hAnsiTheme="minorHAnsi"/>
          <w:color w:val="000000"/>
          <w:sz w:val="22"/>
          <w:szCs w:val="22"/>
          <w:lang w:val="sr-Cyrl-RS"/>
        </w:rPr>
        <w:t xml:space="preserve"> se encuentra publicada en el apartado </w:t>
      </w:r>
      <w:r w:rsidRPr="00DE355F">
        <w:rPr>
          <w:rFonts w:asciiTheme="minorHAnsi" w:hAnsiTheme="minorHAnsi"/>
          <w:i/>
          <w:iCs/>
          <w:color w:val="000000"/>
          <w:sz w:val="22"/>
          <w:szCs w:val="22"/>
          <w:lang w:val="sr-Cyrl-RS"/>
        </w:rPr>
        <w:t>“Becas y cursos de cooperación académica”</w:t>
      </w:r>
      <w:r w:rsidRPr="00DE355F">
        <w:rPr>
          <w:rFonts w:asciiTheme="minorHAnsi" w:hAnsiTheme="minorHAnsi"/>
          <w:color w:val="000000"/>
          <w:sz w:val="22"/>
          <w:szCs w:val="22"/>
          <w:lang w:val="sr-Cyrl-RS"/>
        </w:rPr>
        <w:t xml:space="preserve"> de la sección </w:t>
      </w:r>
      <w:r w:rsidRPr="00DE355F">
        <w:rPr>
          <w:rFonts w:asciiTheme="minorHAnsi" w:hAnsiTheme="minorHAnsi"/>
          <w:i/>
          <w:iCs/>
          <w:color w:val="000000"/>
          <w:sz w:val="22"/>
          <w:szCs w:val="22"/>
          <w:lang w:val="sr-Cyrl-RS"/>
        </w:rPr>
        <w:t>“Acciones y Programas”</w:t>
      </w:r>
      <w:r w:rsidRPr="00DE355F">
        <w:rPr>
          <w:rFonts w:asciiTheme="minorHAnsi" w:hAnsiTheme="minorHAnsi"/>
          <w:color w:val="000000"/>
          <w:sz w:val="22"/>
          <w:szCs w:val="22"/>
          <w:lang w:val="sr-Cyrl-RS"/>
        </w:rPr>
        <w:t xml:space="preserve"> en el Portal Único de Gobierno en el siguiente vínculo:</w:t>
      </w:r>
    </w:p>
    <w:p w:rsidR="00DE355F" w:rsidRPr="00DE355F" w:rsidRDefault="00DE355F" w:rsidP="00DE355F">
      <w:pPr>
        <w:jc w:val="both"/>
        <w:rPr>
          <w:rFonts w:asciiTheme="minorHAnsi" w:hAnsiTheme="minorHAnsi"/>
          <w:color w:val="000000"/>
          <w:sz w:val="22"/>
          <w:szCs w:val="22"/>
          <w:lang w:val="sr-Cyrl-RS"/>
        </w:rPr>
      </w:pPr>
      <w:hyperlink r:id="rId8" w:history="1">
        <w:r w:rsidRPr="00DE355F">
          <w:rPr>
            <w:rStyle w:val="Hyperlink"/>
            <w:rFonts w:asciiTheme="minorHAnsi" w:hAnsiTheme="minorHAnsi"/>
            <w:sz w:val="22"/>
            <w:szCs w:val="22"/>
            <w:lang w:val="es-MX"/>
          </w:rPr>
          <w:t>http://www.gob.mx/amexcid/acciones-y-programas/becas-para-extranjeros-29785</w:t>
        </w:r>
      </w:hyperlink>
      <w:r w:rsidRPr="00DE355F">
        <w:rPr>
          <w:rFonts w:asciiTheme="minorHAnsi" w:hAnsiTheme="minorHAnsi"/>
          <w:color w:val="000000"/>
          <w:sz w:val="22"/>
          <w:szCs w:val="22"/>
          <w:lang w:val="sr-Cyrl-RS"/>
        </w:rPr>
        <w:t>.</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xml:space="preserve">Al respecto, </w:t>
      </w:r>
      <w:r w:rsidRPr="00DE355F">
        <w:rPr>
          <w:rFonts w:asciiTheme="minorHAnsi" w:hAnsiTheme="minorHAnsi"/>
          <w:color w:val="000000"/>
          <w:sz w:val="22"/>
          <w:szCs w:val="22"/>
          <w:lang w:val="es-ES"/>
        </w:rPr>
        <w:t xml:space="preserve">cabe destacar que todas las postulaciones de los nacionales de Serbia deberán realizarse electrónicamente a través del Sistema de Gestión de Cooperación Académica (SIGCA) </w:t>
      </w:r>
      <w:r w:rsidRPr="00DE355F">
        <w:rPr>
          <w:rFonts w:asciiTheme="minorHAnsi" w:hAnsiTheme="minorHAnsi"/>
          <w:color w:val="000000"/>
          <w:sz w:val="22"/>
          <w:szCs w:val="22"/>
          <w:lang w:val="es-ES_tradnl"/>
        </w:rPr>
        <w:t>(</w:t>
      </w:r>
      <w:hyperlink r:id="rId9" w:history="1">
        <w:r w:rsidRPr="00DE355F">
          <w:rPr>
            <w:rStyle w:val="Hyperlink"/>
            <w:rFonts w:asciiTheme="minorHAnsi" w:hAnsiTheme="minorHAnsi"/>
            <w:sz w:val="22"/>
            <w:szCs w:val="22"/>
            <w:lang w:val="es-MX"/>
          </w:rPr>
          <w:t>https://sigca.sre.gob.mx/login</w:t>
        </w:r>
      </w:hyperlink>
      <w:r w:rsidRPr="00DE355F">
        <w:rPr>
          <w:rFonts w:asciiTheme="minorHAnsi" w:hAnsiTheme="minorHAnsi"/>
          <w:color w:val="000000"/>
          <w:sz w:val="22"/>
          <w:szCs w:val="22"/>
          <w:lang w:val="es-ES_tradnl"/>
        </w:rPr>
        <w:t xml:space="preserve">). Para tal efecto, es necesario que los postulantes adjunten la documentación de acuerdo con las indicaciones del sistema y conforme a lo señalado en la Convocatoria 2019. El sistema SIGCA estará abierto hasta el próximo </w:t>
      </w:r>
      <w:r w:rsidRPr="00DE355F">
        <w:rPr>
          <w:rFonts w:asciiTheme="minorHAnsi" w:hAnsiTheme="minorHAnsi"/>
          <w:b/>
          <w:bCs/>
          <w:color w:val="000000"/>
          <w:sz w:val="22"/>
          <w:szCs w:val="22"/>
          <w:lang w:val="es-ES_tradnl"/>
        </w:rPr>
        <w:t>28 de septiembre de 2018</w:t>
      </w:r>
      <w:r w:rsidRPr="00DE355F">
        <w:rPr>
          <w:rFonts w:asciiTheme="minorHAnsi" w:hAnsiTheme="minorHAnsi"/>
          <w:color w:val="000000"/>
          <w:sz w:val="22"/>
          <w:szCs w:val="22"/>
          <w:lang w:val="es-ES_tradnl"/>
        </w:rPr>
        <w:t xml:space="preserve"> a fin de que los interesados envíen su postulación. Los resultados se darán a conocer a partir del </w:t>
      </w:r>
      <w:r w:rsidRPr="00DE355F">
        <w:rPr>
          <w:rFonts w:asciiTheme="minorHAnsi" w:hAnsiTheme="minorHAnsi"/>
          <w:b/>
          <w:bCs/>
          <w:color w:val="000000"/>
          <w:sz w:val="22"/>
          <w:szCs w:val="22"/>
          <w:lang w:val="es-ES_tradnl"/>
        </w:rPr>
        <w:t>5 de diciembre de 2018.</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es-ES_tradnl"/>
        </w:rPr>
        <w:t xml:space="preserve">Las becas se ofrecen únicamente en las áreas del conocimiento e instituciones señaladas expresamente en la Convocatoria 2019.  Cabe señalar que no/no serán considerados dentro del proceso de selección aquellas postulaciones en línea que no cumplan con los requisitos establecidos en la Convocatoria. Para el año 2019, </w:t>
      </w:r>
      <w:r w:rsidRPr="00DE355F">
        <w:rPr>
          <w:rFonts w:asciiTheme="minorHAnsi" w:hAnsiTheme="minorHAnsi"/>
          <w:b/>
          <w:bCs/>
          <w:color w:val="000000"/>
          <w:sz w:val="22"/>
          <w:szCs w:val="22"/>
          <w:lang w:val="es-ES_tradnl"/>
        </w:rPr>
        <w:t xml:space="preserve">la oferta para Serbia, en el marco bilateral, es de hasta 2 becas: 2 nuevas </w:t>
      </w:r>
      <w:r w:rsidRPr="00DE355F">
        <w:rPr>
          <w:rFonts w:asciiTheme="minorHAnsi" w:hAnsiTheme="minorHAnsi"/>
          <w:color w:val="000000"/>
          <w:sz w:val="22"/>
          <w:szCs w:val="22"/>
          <w:lang w:val="es-ES_tradnl"/>
        </w:rPr>
        <w:t xml:space="preserve">(disponibles </w:t>
      </w:r>
      <w:r w:rsidRPr="00DE355F">
        <w:rPr>
          <w:rFonts w:asciiTheme="minorHAnsi" w:hAnsiTheme="minorHAnsi"/>
          <w:b/>
          <w:bCs/>
          <w:color w:val="000000"/>
          <w:sz w:val="22"/>
          <w:szCs w:val="22"/>
          <w:lang w:val="es-ES_tradnl"/>
        </w:rPr>
        <w:t xml:space="preserve">2 </w:t>
      </w:r>
      <w:r w:rsidRPr="00DE355F">
        <w:rPr>
          <w:rFonts w:asciiTheme="minorHAnsi" w:hAnsiTheme="minorHAnsi"/>
          <w:color w:val="000000"/>
          <w:sz w:val="22"/>
          <w:szCs w:val="22"/>
          <w:lang w:val="es-ES_tradnl"/>
        </w:rPr>
        <w:t>a partir de marzo de 2019).</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es-ES_tradnl"/>
        </w:rPr>
        <w:t>En lo referente a las postulaciones en línea dirigidas al COLMEX, la FLACSO y la Universidad Iberoamericana (UIA), la aceptación académica definitiva está condicionada al cumplimiento de los diferentes procesos que para tal fin realizan dichas instituciones.</w:t>
      </w:r>
    </w:p>
    <w:p w:rsidR="00DE355F" w:rsidRPr="00DE355F" w:rsidRDefault="00DE355F" w:rsidP="00DE355F">
      <w:pPr>
        <w:ind w:firstLine="720"/>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Al respecto, agradeceré su gentil apoyo para difundir esta Convocatoria al interior de su Universidad.</w:t>
      </w:r>
    </w:p>
    <w:p w:rsidR="00DE355F" w:rsidRPr="00DE355F" w:rsidRDefault="00DE355F" w:rsidP="00DE355F">
      <w:pPr>
        <w:ind w:firstLine="720"/>
        <w:jc w:val="both"/>
        <w:rPr>
          <w:rFonts w:asciiTheme="minorHAnsi" w:hAnsiTheme="minorHAnsi"/>
          <w:color w:val="000000"/>
          <w:sz w:val="22"/>
          <w:szCs w:val="22"/>
          <w:lang w:val="sr-Cyrl-RS"/>
        </w:rPr>
      </w:pPr>
      <w:r w:rsidRPr="00DE355F">
        <w:rPr>
          <w:rFonts w:asciiTheme="minorHAnsi" w:hAnsiTheme="minorHAnsi"/>
          <w:color w:val="000000"/>
          <w:sz w:val="22"/>
          <w:szCs w:val="22"/>
          <w:lang w:val="sr-Cyrl-RS"/>
        </w:rPr>
        <w:t> </w:t>
      </w:r>
    </w:p>
    <w:p w:rsidR="00DE355F" w:rsidRPr="00DE355F" w:rsidRDefault="00DE355F" w:rsidP="00DE355F">
      <w:pPr>
        <w:jc w:val="both"/>
        <w:rPr>
          <w:rFonts w:asciiTheme="minorHAnsi" w:hAnsiTheme="minorHAnsi"/>
          <w:color w:val="000000"/>
          <w:sz w:val="22"/>
          <w:szCs w:val="22"/>
          <w:lang w:val="sr-Cyrl-RS"/>
        </w:rPr>
      </w:pPr>
      <w:r w:rsidRPr="00DE355F">
        <w:rPr>
          <w:rFonts w:asciiTheme="minorHAnsi" w:hAnsiTheme="minorHAnsi"/>
          <w:color w:val="000000"/>
          <w:sz w:val="22"/>
          <w:szCs w:val="22"/>
          <w:lang w:val="es-ES"/>
        </w:rPr>
        <w:t>Aprovecho la oportunidad para renovar a usted las seguridades de mi mayor consideración.</w:t>
      </w:r>
    </w:p>
    <w:p w:rsidR="008F1C3E" w:rsidRPr="00DE355F" w:rsidRDefault="008F1C3E" w:rsidP="00DE355F">
      <w:pPr>
        <w:jc w:val="both"/>
        <w:rPr>
          <w:rFonts w:asciiTheme="minorHAnsi" w:hAnsiTheme="minorHAnsi"/>
          <w:sz w:val="22"/>
          <w:szCs w:val="22"/>
        </w:rPr>
      </w:pPr>
    </w:p>
    <w:sectPr w:rsidR="008F1C3E" w:rsidRPr="00DE3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5F"/>
    <w:rsid w:val="003431CB"/>
    <w:rsid w:val="008F1C3E"/>
    <w:rsid w:val="00DE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5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mx/amexcid/acciones-y-programas/becas-para-extranjeros-29785" TargetMode="External"/><Relationship Id="rId3" Type="http://schemas.openxmlformats.org/officeDocument/2006/relationships/settings" Target="settings.xml"/><Relationship Id="rId7" Type="http://schemas.openxmlformats.org/officeDocument/2006/relationships/hyperlink" Target="HTTP://SRE.GOB.MX/SERB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mbserbia@sre.gob.mx" TargetMode="External"/><Relationship Id="rId11" Type="http://schemas.openxmlformats.org/officeDocument/2006/relationships/theme" Target="theme/theme1.xml"/><Relationship Id="rId5" Type="http://schemas.openxmlformats.org/officeDocument/2006/relationships/hyperlink" Target="http://www.gob.mx/amexcid/acciones-y-programas/becas-para-extranjeros-297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gca.sre.gob.mx/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1</cp:revision>
  <dcterms:created xsi:type="dcterms:W3CDTF">2018-07-12T10:09:00Z</dcterms:created>
  <dcterms:modified xsi:type="dcterms:W3CDTF">2018-07-12T10:12:00Z</dcterms:modified>
</cp:coreProperties>
</file>